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0"/>
          <w:szCs w:val="24"/>
        </w:rPr>
      </w:pPr>
      <w:r>
        <w:rPr>
          <w:rFonts w:cs="Calibri" w:cstheme="minorHAnsi"/>
          <w:b/>
          <w:bCs/>
          <w:sz w:val="30"/>
          <w:szCs w:val="24"/>
        </w:rPr>
        <w:t xml:space="preserve">LISTA DE VERIFICAÇÃO - AQUISIÇÃO DE BENS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Obs.1: Na coluna “ESTADO” preencher com as letras “S” ou “N.A.”, sendo:</w:t>
      </w:r>
    </w:p>
    <w:p>
      <w:pPr>
        <w:pStyle w:val="Normal"/>
        <w:spacing w:lineRule="auto" w:line="24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 xml:space="preserve">S – SIM – Neste caso, deverá ser indica a página correspondente, </w:t>
      </w:r>
      <w:r>
        <w:rPr>
          <w:rFonts w:eastAsia="Calibri" w:cs="Calibri" w:cstheme="minorHAnsi"/>
          <w:bCs/>
          <w:color w:val="FF0000"/>
          <w:kern w:val="0"/>
          <w:sz w:val="24"/>
          <w:szCs w:val="24"/>
          <w:lang w:val="pt-BR" w:eastAsia="en-US" w:bidi="ar-SA"/>
        </w:rPr>
        <w:t>caso existente</w:t>
      </w:r>
      <w:r>
        <w:rPr>
          <w:rFonts w:cs="Calibri" w:cstheme="minorHAnsi"/>
          <w:bCs/>
          <w:color w:val="FF0000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N.A.– NÃO SE APLICA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Obs.2: Os processos somente deverão ser encaminhados à Procuradoria Jurídica após o TOTAL preenchimento/cumprimento da presente lista de verificação.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74"/>
      </w:tblGrid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VERIFICAÇÃO COMUM A TODAS AS CONTRATAÇÕES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ESTADO</w:t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1. </w:t>
            </w: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t-BR" w:eastAsia="en-US" w:bidi="ar-SA"/>
              </w:rPr>
              <w:t>Houve abertura de processo administrativo devidamente autuado e numerado, quando processo físico, ou registrado quando processo eletrônico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2. Consta a solicitação/requisição do objeto, elaborada pelo agente ou setor competente?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3. Foram elaborados e juntados ao processo os Estudos Técnicos Preliminares, conforme as diretrizes constantes da IN SEGES/MP nº 40/2020?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Obs.: O art. 8º, I da IN SEGES/ME nº 40/2020 estabelece que é facultada a elaboração dos Estudos Preliminares nas hipóteses dos incisos I, II, III, IV e XI do art. 24 da Lei nº 8.666, de 21 de junho de 1993.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trike/>
                <w:sz w:val="24"/>
                <w:szCs w:val="24"/>
              </w:rPr>
            </w:pPr>
            <w:r>
              <w:rPr>
                <w:rFonts w:cs="Calibri" w:cstheme="minorHAnsi"/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trike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3.1. Os estudos desenvolvidos atenderam a todas as exigências do art. 7º da IN SEGES 40/2020?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trike/>
                <w:sz w:val="24"/>
                <w:szCs w:val="24"/>
              </w:rPr>
            </w:pPr>
            <w:r>
              <w:rPr>
                <w:rFonts w:cs="Calibri" w:cstheme="minorHAnsi"/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trike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3.2. A não previsão, nos estudos preliminares, de qualquer dos conteúdos do art. 7º da IN SEGES/ME nº 40/2020 foi devidamente justificada no próprio documento? (art. 7º, §2º, da IN SEGES/ME nº 40/2020)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trike/>
                <w:sz w:val="24"/>
                <w:szCs w:val="24"/>
              </w:rPr>
            </w:pPr>
            <w:r>
              <w:rPr>
                <w:rFonts w:cs="Calibri" w:cstheme="minorHAnsi"/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yellow"/>
              </w:rPr>
            </w:pPr>
            <w:r>
              <w:rPr>
                <w:rStyle w:val="Eop"/>
                <w:rFonts w:eastAsia="Calibri"/>
                <w:kern w:val="0"/>
                <w:sz w:val="24"/>
                <w:szCs w:val="24"/>
                <w:lang w:val="pt-BR" w:eastAsia="en-US" w:bidi="ar-SA"/>
              </w:rPr>
              <w:t>3.3.</w:t>
            </w:r>
            <w:r>
              <w:rPr>
                <w:rStyle w:val="Eop"/>
                <w:rFonts w:eastAsia="Calibri"/>
                <w:kern w:val="0"/>
                <w:lang w:val="pt-BR" w:eastAsia="en-US" w:bidi="ar-SA"/>
              </w:rPr>
              <w:t xml:space="preserve"> </w:t>
            </w:r>
            <w:r>
              <w:rPr>
                <w:rStyle w:val="Eop"/>
                <w:rFonts w:eastAsia="Calibri"/>
                <w:kern w:val="0"/>
                <w:sz w:val="24"/>
                <w:szCs w:val="24"/>
                <w:lang w:val="pt-BR" w:eastAsia="en-US" w:bidi="ar-SA"/>
              </w:rPr>
              <w:t>Consta a aprovação do Estudo Técnico Preliminar pela autoridade competente? (art. 14, inciso II, do Decreto n.º 10.024/19)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highlight w:val="yellow"/>
                <w:lang w:val="pt-BR" w:eastAsia="en-US" w:bidi="ar-SA"/>
              </w:rPr>
              <w:tab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trike/>
                <w:sz w:val="24"/>
                <w:szCs w:val="24"/>
              </w:rPr>
            </w:pPr>
            <w:r>
              <w:rPr>
                <w:rFonts w:cs="Calibri" w:cstheme="minorHAnsi"/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4. Há termo de referência ou projeto básico elaborado pelo setor requisitante? (art. 9º, II do Decreto 10.024/19; art. 6º, IX, art. 7º, I e II, §2º, I, §7º e art. 14 da Lei 8.666/93)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4.1. O documento contendo as especificações e a quantidade estimada do bem observou as diretrizes do art. 15 da Lei 8.666/93?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4.2. Foram utilizados os modelos de minutas padronizados de Termos de Referência ou de Projeto Básico da Procuradoria Geral do Município?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4.2.1. Foram justificadas e destacadas visualmente, no processo, eventuais alterações ou não utilização do modelo de termo de referência da PGM?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5. Encontra-se prevista a exigência de amostra ou prova de conceito para algum item?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5.1. A exigência está clara, precisa e acompanhada de metodologia de análise?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6. Houve consulta ao “Guia Nacional de Licitações Sustentáveis”, da CGU/AGU, com manifestação sobre práticas e/ou critérios de sustentabilidade economicamente viáveis adotados na contratação?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7. Consta a aprovação do termo de referência ou do projeto básico pela autoridade competente? (art. 14, II, do Decreto 10.024/19; art</w:t>
            </w: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t-BR" w:eastAsia="en-US" w:bidi="ar-SA"/>
              </w:rPr>
              <w:t>. 7º, §2º, I da Lei 8.666/93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8. Foi realizada ampla pesquisa de preços praticados pelo mercado do ramo do objeto a ser contratado baseada em critérios aceitáveis observando-se a IN 73, de 05 de agosto de 2020, do Ministério da Economia, conforme o caso? (art. 3º, III, da Lei 10.520/02, art. 3º, XI, “a”, “2” do Decreto 10.024/19, arts. 15, III e 43, IV da Lei 8.666/93 e art. 7º, inc. V e VI da IN SEGES/ME nº 40/2020).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8.1. A metodologia de obtenção do preço de referência foi esclarecida e devidamente justificada?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Droid Sans Fallback" w:cs="Calibri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 w:cstheme="minorHAnsi"/>
                <w:kern w:val="2"/>
                <w:sz w:val="24"/>
                <w:szCs w:val="24"/>
                <w:lang w:val="pt-BR" w:eastAsia="zh-CN" w:bidi="hi-IN"/>
              </w:rPr>
              <w:t>8.2. Foi juntada tabela comparativa dos preços obtidos datada e assinada pelo servidor responsável pela pesquisa, para fins de subsidiar a análise crítica dos preços coletados?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Droid Sans Fallback" w:cs="Calibri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 w:cstheme="minorHAnsi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8.3. Consta manifestação da área técnica com análise dos preços obtidos na pesquisa?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9. Consta indicação do recurso orçamentário próprio para a despesa e da respectiva rubrica, caso não seja SRP? (art. 8º, IV, do Decreto 10.024/19 e arts. 7º, § 2º, III, 14 e 38, caput, da Lei 8.666/93)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10. Foram utilizados os modelos padronizados de instrumentos contratuais da PGM?</w:t>
            </w:r>
            <w:r>
              <w:rPr>
                <w:rFonts w:eastAsia="Calibri" w:cs="Calibri" w:cstheme="minorHAnsi"/>
                <w:strike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10.1. Eventuais alterações nos modelos ou sua não utilização foram devidamente justificadas no processo?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74"/>
      </w:tblGrid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LISTA DE VERIFICAÇÃO ESPECÍFICA PARA CONTRATAÇÃO PRECEDIDA DE LICITAÇÃO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t-BR" w:eastAsia="en-US" w:bidi="ar-SA"/>
              </w:rPr>
              <w:t>ESTADO</w:t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11. Houve justificativa do enquadramento ou não do objeto como sendo bem comum?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11.1 Sendo enquadrado o objeto como bem ou serviço comum, foi adotado o pregão? (art. 1º da Lei 10.520/02; art. 1º do Decreto 10.024/2019)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12. Sendo adotado o pregão, a autoridade competente designou o pregoeiro e a respectiva equipe de apoio? (art. 3º, IV, §§1º e 2º da Lei 10.520/02, art. 8º, VI do Decreto 10.024/19)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12.1. No caso de realizada a licitação por pregão presencial, consta a justificativa válida quanto à inviabilidade de utilizar-se o formato eletrônico? (art. 1º, §4º do Decreto 10.024/2019)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13. Sendo adotada modalidade de licitação diversa do pregão, consta designação da Comissão de Licitação? (</w:t>
            </w: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t-BR" w:eastAsia="en-US" w:bidi="ar-SA"/>
              </w:rPr>
              <w:t>art. 38, III, da Lei 8.666/93)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14. Caso tenha havido exigência de amostra, ela está prevista somente em relação ao vencedor e, tratando-se de pregão, apenas na fase de aceitação, após a etapa de lances? (Art. 43, IV e V, da Lei 8.666/93)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15. Há autorização da autoridade competente permitindo o início do procedimento licitatório? (art. 38, caput, da Lei 8.666/93 e art. 8º, V do Decreto nº 10.024/19)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16. Há minuta de edital? (art. 4º, III, da Lei 10.520/02, art. 8º, VII do Decreto nº 10.024/19 e art. 40 da Lei 8.666/93)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16.1. Foram utilizados os modelos padronizados de instrumentos convocatórios da PGM?</w:t>
            </w:r>
            <w:r>
              <w:rPr>
                <w:rFonts w:eastAsia="Calibri" w:cs="Calibri" w:cstheme="minorHAnsi"/>
                <w:strike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 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16.1.1. Eventuais alterações nos modelos ou a não utilização, foram devidamente justificadas no processo?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16.2. A minuta de contrato ou de instrumento assemelhado constitui anexo à minuta do edital? (art. 40, §2º, III, da Lei 8.666/93)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Obs.: se a Administração Pública desejar substituir o contrato por outros instrumentos hábeis na forma do art. 62 da Lei 8.666/93, deverá justificar a decisão.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16.3. Tratando-se de modalidade diversa do pregão, o orçamento estimado em planilhas de quantitativos e preços unitários está anexo ao edital? (art. 40 , §2º, II, da Lei 8.666/93)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17. Os responsáveis pela elaboração do edital e dos anexos foram devidamente identificados no processo?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74"/>
      </w:tblGrid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VERIFICAÇÃO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u w:val="single"/>
                <w:lang w:val="pt-BR" w:eastAsia="en-US" w:bidi="ar-SA"/>
              </w:rPr>
              <w:t>ESPECÍFICA PARA SISTEMA DE REGISTRO DE PREÇOS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t-BR" w:eastAsia="en-US" w:bidi="ar-SA"/>
              </w:rPr>
              <w:t>ESTADO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t-BR" w:eastAsia="en-US" w:bidi="ar-SA"/>
              </w:rPr>
              <w:t>S / N / N.A.</w:t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18. Autoridade competente justificou a utilização do SRP com base em alguma das hipóteses previstas no artigo 3º do Decreto 7.892 de 23 de janeiro de 2013?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19. Foi realizado o procedimento de Intenção de Registro de Preços – IRP, visando ao registro e à divulgação dos itens a serem licitados? (art. 4º e 5º, I, do Decreto 7.892/13)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19.1. </w:t>
            </w:r>
            <w:bookmarkStart w:id="0" w:name="_Hlk4256808"/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No caso de dispensa da divulgação da Intenção de Registro de Preços – IRP, há justificativa do órgão gerenciador? (art. 4º, §1º, do Decreto 7.892/13)</w:t>
            </w:r>
            <w:bookmarkEnd w:id="0"/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19.2. Foram adotadas pelo órgão gerenciador as medidas do §3º do art. 4º do Decreto 7.892/2013?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20. No caso de existirem órgãos ou entidades participantes, o órgão gerenciador consolidou as informações relativas à estimativa individual e total de consumo?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en-US" w:eastAsia="en-US" w:bidi="ar-SA"/>
              </w:rPr>
              <w:t>(art. 5º, II, do Decreto 7.892/13)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21. Foram consolidados os dados das pesquisas de mercado realizadas pelos órgãos e entidades participantes, inclusive nas hipóteses previstas nos §§ 2º e 3º do art. 6º do Decreto 7.892/13? (art. 5º, IV, do Decreto 7.892/13)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22. O órgão gerenciador confirmou junto aos órgãos ou entidades participantes a sua concordância com o objeto a ser licitado, inclusive quanto aos quantitativos e termo de referência? (art. 5º, V, do Decreto 7.892/13)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23. Foi utilizado o modelo padronizado de ata de registro de preços da PGM?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23.1. Eventuais alterações no modelo ou sua não utilização foram devidamente justificadas no processo?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24. O Edital permite a adesão a não participantes? (Art. 22 do Decreto nº 7.892/13)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24.1 Houve justificativa para a permissão de futura adesão de interessados não-participantes? (Acórdão nº 757/2015 – Plenário do TCU)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24.2 Havendo possibilidade de adesão, há previsão de quantitativos para máximos por adesão e totais, nos termos do art. 22, §§ 3º, 4º e 4º-A do Decreto nº 7.892/13.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25. A licitação adota o critério de adjudicação por item?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25.1 Caso utilizado critério de adjudicação por preço global de grupo de itens, foi apresentada justificativa?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Atentar para a recomendação do TCU, emanada no acórdão 2037/2019-Plenário, nos seguinte termos: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 xml:space="preserve">9.6. determinar à Secretaria-Geral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FF0000"/>
                <w:kern w:val="0"/>
                <w:sz w:val="24"/>
                <w:szCs w:val="24"/>
                <w:lang w:val="pt-BR" w:eastAsia="en-US" w:bidi="ar-SA"/>
              </w:rPr>
              <w:t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arts. 3º, § 1º, inciso I, 15, inciso IV, e 23, §§ 1º e 2º, da Lei 8.666/1993, e Acórdãos 529, 1.592, 1.913, 2.695 e 2.796/2013, todos do Plenário.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rPr>
          <w:rFonts w:cs="Calibri" w:cs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rPr>
          <w:rFonts w:cs="Calibri" w:cs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74"/>
      </w:tblGrid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VERIFICAÇÃO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u w:val="single"/>
                <w:lang w:val="pt-BR" w:eastAsia="en-US" w:bidi="ar-SA"/>
              </w:rPr>
              <w:t>ESPECÍFICA PARA DISPENSA DE LICITAÇÃO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t-BR" w:eastAsia="en-US" w:bidi="ar-SA"/>
              </w:rPr>
              <w:t>ESTADO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cs="Calibri" w:cstheme="minorHAnsi"/>
                <w:b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26. Houve justificativa do enquadramento ou não do objeto dentro das hipóteses do art. 24 da Lei nº 8.666/93 ou de legislação específica pertinente, com indicação expressa do fundamento legal utilizado?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26.1. Nas hipóteses do art. 24, incisos IV e XXXV, houve demonstração da caracterização da situação emergencial, calamitosa ou de grave e iminente risco à segurança pública que justifique a dispensa, conforme o caso, nos termos do art. 26, parágrafo único, inciso I da Lei nº 8.666/93?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27. Constam dos autos as razões para escolha do executante a ser contratado?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28. Consta dos autos prova: a) de regularidade fiscal federal, estadual e municipal; b) de regularidade com a Seguridade Social; c) de regularidade com o Fundo de Garantia por Tempo de Serviço; d) de regularidade trabalhista; e) declaração de cumprimento do disposto no inciso XXXIII do art. 7º da Constituição Federal; e f) ausência de penalidade que vede a contratação com o órgão (artigo 27 e seguintes da Lei 8.666/1993)?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8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29. Houve o reconhecimento da dispensa de licitação e a sua ratificação, nos termos do art. 26 da Lei nº 8.666/93, com a publicação do respectivo extrato, no prazo de 5 (cinco) dias?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pargrafoParecerChar" w:customStyle="1">
    <w:name w:val="L_parágrafo_Parecer Char"/>
    <w:basedOn w:val="CabealhoChar"/>
    <w:link w:val="LpargrafoParecer"/>
    <w:qFormat/>
    <w:rsid w:val="00b533f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33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2c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c2cc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c2cc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2ccc"/>
    <w:rPr>
      <w:rFonts w:ascii="Segoe UI" w:hAnsi="Segoe UI" w:cs="Segoe UI"/>
      <w:sz w:val="18"/>
      <w:szCs w:val="18"/>
    </w:rPr>
  </w:style>
  <w:style w:type="character" w:styleId="LinkdaInternet">
    <w:name w:val="Link da Internet"/>
    <w:uiPriority w:val="99"/>
    <w:unhideWhenUsed/>
    <w:rsid w:val="00fe2a42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3833d5"/>
    <w:rPr/>
  </w:style>
  <w:style w:type="character" w:styleId="Eop" w:customStyle="1">
    <w:name w:val="eop"/>
    <w:basedOn w:val="DefaultParagraphFont"/>
    <w:qFormat/>
    <w:rsid w:val="003f3978"/>
    <w:rPr/>
  </w:style>
  <w:style w:type="character" w:styleId="Linkdainternetvisitado">
    <w:name w:val="Link da internet visitado"/>
    <w:basedOn w:val="DefaultParagraphFont"/>
    <w:uiPriority w:val="99"/>
    <w:semiHidden/>
    <w:unhideWhenUsed/>
    <w:rsid w:val="009d0901"/>
    <w:rPr>
      <w:color w:val="954F72" w:themeColor="followed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143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pargrafoParecer" w:customStyle="1">
    <w:name w:val="L_parágrafo_Parecer"/>
    <w:basedOn w:val="Cabealho"/>
    <w:link w:val="LpargrafoParecerChar"/>
    <w:autoRedefine/>
    <w:qFormat/>
    <w:rsid w:val="00b533f5"/>
    <w:pPr>
      <w:numPr>
        <w:ilvl w:val="0"/>
        <w:numId w:val="1"/>
      </w:numPr>
      <w:tabs>
        <w:tab w:val="clear" w:pos="4252"/>
        <w:tab w:val="clear" w:pos="8504"/>
        <w:tab w:val="left" w:pos="1418" w:leader="none"/>
      </w:tabs>
      <w:spacing w:before="0" w:after="240"/>
      <w:ind w:left="0" w:hanging="0"/>
      <w:jc w:val="both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c2c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c2c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2c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57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83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80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ONormal" w:customStyle="1">
    <w:name w:val="LO-Normal"/>
    <w:qFormat/>
    <w:rsid w:val="005e4e8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0"/>
      <w:sz w:val="24"/>
      <w:szCs w:val="24"/>
      <w:lang w:val="pt-BR" w:eastAsia="zh-CN" w:bidi="hi-IN"/>
    </w:rPr>
  </w:style>
  <w:style w:type="paragraph" w:styleId="Revision">
    <w:name w:val="Revision"/>
    <w:uiPriority w:val="99"/>
    <w:semiHidden/>
    <w:qFormat/>
    <w:rsid w:val="00d331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nhideWhenUsed/>
    <w:rsid w:val="0061431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C077-44E2-4F55-94F6-5F0E7E0CA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8382B-11D9-44BC-9A10-407A213B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2016A-F1BB-4D4F-92AB-475D062F1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LibreOffice/7.0.3.1$Windows_X86_64 LibreOffice_project/d7547858d014d4cf69878db179d326fc3483e082</Application>
  <Pages>4</Pages>
  <Words>1579</Words>
  <Characters>8266</Characters>
  <CharactersWithSpaces>9802</CharactersWithSpaces>
  <Paragraphs>72</Paragraphs>
  <Company>Banco Central do Brasil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2021-01-13T15:54:00Z</dcterms:created>
  <dc:creator>Leandro Sarai</dc:creator>
  <dc:description/>
  <dc:language>pt-BR</dc:language>
  <cp:lastModifiedBy/>
  <dcterms:modified xsi:type="dcterms:W3CDTF">2021-01-21T11:33:27Z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1024">
    <vt:lpwstr>48</vt:lpwstr>
  </property>
  <property fmtid="{D5CDD505-2E9C-101B-9397-08002B2CF9AE}" pid="4" name="AuthorIds_UIVersion_512">
    <vt:lpwstr>44</vt:lpwstr>
  </property>
  <property fmtid="{D5CDD505-2E9C-101B-9397-08002B2CF9AE}" pid="5" name="Company">
    <vt:lpwstr>Banco Central do Brasil</vt:lpwstr>
  </property>
  <property fmtid="{D5CDD505-2E9C-101B-9397-08002B2CF9AE}" pid="6" name="ContentTypeId">
    <vt:lpwstr>0x01010012A2765E7DFD38469B2E626874CD0041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